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6FD4" w14:textId="67ADBC8C" w:rsidR="00EF36D6" w:rsidRDefault="00EF36D6" w:rsidP="00437C2D">
      <w:pPr>
        <w:ind w:right="-425"/>
        <w:rPr>
          <w:noProof/>
        </w:rPr>
      </w:pPr>
    </w:p>
    <w:p w14:paraId="71FE0E03" w14:textId="43E51621" w:rsidR="00EF36D6" w:rsidRDefault="00437C2D" w:rsidP="00EF36D6">
      <w:pPr>
        <w:jc w:val="center"/>
        <w:rPr>
          <w:b/>
          <w:bCs/>
          <w:sz w:val="28"/>
          <w:szCs w:val="28"/>
        </w:rPr>
      </w:pPr>
      <w:r w:rsidRPr="00437C2D">
        <w:rPr>
          <w:b/>
          <w:bCs/>
          <w:noProof/>
          <w:sz w:val="28"/>
          <w:szCs w:val="28"/>
        </w:rPr>
        <w:drawing>
          <wp:inline distT="0" distB="0" distL="0" distR="0" wp14:anchorId="468EB9F1" wp14:editId="22B0DFBF">
            <wp:extent cx="1889760" cy="102347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2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4471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EF36D6" w14:paraId="5783D340" w14:textId="77777777" w:rsidTr="00AC61A4">
        <w:tc>
          <w:tcPr>
            <w:tcW w:w="988" w:type="dxa"/>
          </w:tcPr>
          <w:p w14:paraId="0C057A01" w14:textId="77777777" w:rsidR="00EF36D6" w:rsidRPr="00EF36D6" w:rsidRDefault="00EF36D6" w:rsidP="00AC61A4">
            <w:pPr>
              <w:rPr>
                <w:rFonts w:ascii="Open Sans" w:hAnsi="Open Sans" w:cs="Open Sans"/>
                <w:b/>
                <w:bCs/>
                <w:color w:val="002060"/>
              </w:rPr>
            </w:pPr>
            <w:r w:rsidRPr="00EF36D6">
              <w:rPr>
                <w:rFonts w:ascii="Open Sans" w:hAnsi="Open Sans" w:cs="Open Sans"/>
                <w:b/>
                <w:bCs/>
                <w:color w:val="002060"/>
              </w:rPr>
              <w:t>Time</w:t>
            </w:r>
            <w:r>
              <w:rPr>
                <w:rFonts w:ascii="Open Sans" w:hAnsi="Open Sans" w:cs="Open Sans"/>
                <w:b/>
                <w:bCs/>
                <w:color w:val="002060"/>
              </w:rPr>
              <w:t xml:space="preserve"> </w:t>
            </w:r>
            <w:r w:rsidRPr="00EF36D6">
              <w:rPr>
                <w:rFonts w:ascii="Open Sans" w:hAnsi="Open Sans" w:cs="Open Sans"/>
                <w:b/>
                <w:bCs/>
                <w:color w:val="002060"/>
              </w:rPr>
              <w:t>stamp</w:t>
            </w:r>
          </w:p>
        </w:tc>
        <w:tc>
          <w:tcPr>
            <w:tcW w:w="8221" w:type="dxa"/>
          </w:tcPr>
          <w:p w14:paraId="492625C5" w14:textId="77777777" w:rsidR="00EF36D6" w:rsidRPr="00EF36D6" w:rsidRDefault="00EF36D6" w:rsidP="00AC61A4">
            <w:pPr>
              <w:rPr>
                <w:rFonts w:ascii="Open Sans" w:hAnsi="Open Sans" w:cs="Open Sans"/>
                <w:b/>
                <w:bCs/>
                <w:color w:val="002060"/>
              </w:rPr>
            </w:pPr>
            <w:r w:rsidRPr="00EF36D6">
              <w:rPr>
                <w:rFonts w:ascii="Open Sans" w:hAnsi="Open Sans" w:cs="Open Sans"/>
                <w:b/>
                <w:bCs/>
                <w:color w:val="002060"/>
              </w:rPr>
              <w:t>Transcript</w:t>
            </w:r>
          </w:p>
        </w:tc>
      </w:tr>
      <w:tr w:rsidR="00EF36D6" w14:paraId="299D756A" w14:textId="77777777" w:rsidTr="00AC61A4">
        <w:tc>
          <w:tcPr>
            <w:tcW w:w="988" w:type="dxa"/>
          </w:tcPr>
          <w:p w14:paraId="774C3289" w14:textId="77777777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00:00</w:t>
            </w:r>
          </w:p>
        </w:tc>
        <w:tc>
          <w:tcPr>
            <w:tcW w:w="8221" w:type="dxa"/>
          </w:tcPr>
          <w:p w14:paraId="413BAE60" w14:textId="77777777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Start of Video</w:t>
            </w:r>
          </w:p>
        </w:tc>
      </w:tr>
      <w:tr w:rsidR="00EF36D6" w14:paraId="3F6FB879" w14:textId="77777777" w:rsidTr="00AC61A4">
        <w:tc>
          <w:tcPr>
            <w:tcW w:w="988" w:type="dxa"/>
          </w:tcPr>
          <w:p w14:paraId="18AE2380" w14:textId="77777777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00:02</w:t>
            </w:r>
          </w:p>
        </w:tc>
        <w:tc>
          <w:tcPr>
            <w:tcW w:w="8221" w:type="dxa"/>
          </w:tcPr>
          <w:p w14:paraId="6B949D9E" w14:textId="57D084CD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 xml:space="preserve">What is an </w:t>
            </w:r>
            <w:r w:rsidR="00437C2D">
              <w:rPr>
                <w:rFonts w:ascii="Open Sans" w:hAnsi="Open Sans" w:cs="Open Sans"/>
                <w:color w:val="002060"/>
              </w:rPr>
              <w:t>Education, Health and Social Care Plan and who is it for?</w:t>
            </w:r>
          </w:p>
        </w:tc>
      </w:tr>
      <w:tr w:rsidR="00EF36D6" w14:paraId="6565F1AD" w14:textId="77777777" w:rsidTr="00AC61A4">
        <w:tc>
          <w:tcPr>
            <w:tcW w:w="988" w:type="dxa"/>
          </w:tcPr>
          <w:p w14:paraId="3C04E062" w14:textId="5567D2D5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00:0</w:t>
            </w:r>
            <w:r w:rsidR="00437C2D">
              <w:rPr>
                <w:rFonts w:ascii="Open Sans" w:hAnsi="Open Sans" w:cs="Open Sans"/>
                <w:color w:val="002060"/>
              </w:rPr>
              <w:t>8</w:t>
            </w:r>
          </w:p>
        </w:tc>
        <w:tc>
          <w:tcPr>
            <w:tcW w:w="8221" w:type="dxa"/>
          </w:tcPr>
          <w:p w14:paraId="2220F50E" w14:textId="15ED4A4E" w:rsidR="00EF36D6" w:rsidRPr="00EF36D6" w:rsidRDefault="00437C2D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In 2014 The Children’s and Famil</w:t>
            </w:r>
            <w:r w:rsidR="00D6127A">
              <w:rPr>
                <w:rFonts w:ascii="Open Sans" w:hAnsi="Open Sans" w:cs="Open Sans"/>
                <w:color w:val="002060"/>
              </w:rPr>
              <w:t>ies</w:t>
            </w:r>
            <w:r>
              <w:rPr>
                <w:rFonts w:ascii="Open Sans" w:hAnsi="Open Sans" w:cs="Open Sans"/>
                <w:color w:val="002060"/>
              </w:rPr>
              <w:t xml:space="preserve"> Act became law and introduced a new system of support which is relevant to parents and carers of children and young people aged 0-25 who have Special Educational Needs or Disabilities.</w:t>
            </w:r>
          </w:p>
        </w:tc>
      </w:tr>
      <w:tr w:rsidR="00EF36D6" w14:paraId="3D21C126" w14:textId="77777777" w:rsidTr="00AC61A4">
        <w:tc>
          <w:tcPr>
            <w:tcW w:w="988" w:type="dxa"/>
          </w:tcPr>
          <w:p w14:paraId="12F560A7" w14:textId="77777777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00:22</w:t>
            </w:r>
          </w:p>
        </w:tc>
        <w:tc>
          <w:tcPr>
            <w:tcW w:w="8221" w:type="dxa"/>
          </w:tcPr>
          <w:p w14:paraId="6A89A23C" w14:textId="43D8662F" w:rsidR="00EF36D6" w:rsidRPr="00EF36D6" w:rsidRDefault="00437C2D" w:rsidP="00AC61A4">
            <w:pPr>
              <w:ind w:left="40" w:hanging="40"/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 xml:space="preserve">This means there is a requirement to produce </w:t>
            </w:r>
            <w:r w:rsidR="00FF73FD">
              <w:rPr>
                <w:rFonts w:ascii="Open Sans" w:hAnsi="Open Sans" w:cs="Open Sans"/>
                <w:color w:val="002060"/>
              </w:rPr>
              <w:t>Education, Health and Care Plans or EHCPs using person centred approaches.</w:t>
            </w:r>
            <w:r w:rsidR="00EF36D6" w:rsidRPr="00EF36D6">
              <w:rPr>
                <w:rFonts w:ascii="Open Sans" w:hAnsi="Open Sans" w:cs="Open Sans"/>
                <w:color w:val="002060"/>
              </w:rPr>
              <w:t xml:space="preserve"> </w:t>
            </w:r>
          </w:p>
        </w:tc>
      </w:tr>
      <w:tr w:rsidR="00EF36D6" w14:paraId="12AAE5C2" w14:textId="77777777" w:rsidTr="00AC61A4">
        <w:tc>
          <w:tcPr>
            <w:tcW w:w="988" w:type="dxa"/>
          </w:tcPr>
          <w:p w14:paraId="52FB911E" w14:textId="7848A356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00:3</w:t>
            </w:r>
            <w:r w:rsidR="00FF73FD">
              <w:rPr>
                <w:rFonts w:ascii="Open Sans" w:hAnsi="Open Sans" w:cs="Open Sans"/>
                <w:color w:val="002060"/>
              </w:rPr>
              <w:t>0</w:t>
            </w:r>
          </w:p>
        </w:tc>
        <w:tc>
          <w:tcPr>
            <w:tcW w:w="8221" w:type="dxa"/>
          </w:tcPr>
          <w:p w14:paraId="17FAFC39" w14:textId="7447269C" w:rsidR="00EF36D6" w:rsidRPr="00EF36D6" w:rsidRDefault="00FF73FD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 xml:space="preserve">EHCPs replace Statements of Educational Needs and what were called  Learning Difficulty Assessments </w:t>
            </w:r>
          </w:p>
        </w:tc>
      </w:tr>
      <w:tr w:rsidR="00EF36D6" w14:paraId="37E83123" w14:textId="77777777" w:rsidTr="00AC61A4">
        <w:tc>
          <w:tcPr>
            <w:tcW w:w="988" w:type="dxa"/>
          </w:tcPr>
          <w:p w14:paraId="413D0F28" w14:textId="28A7E425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00:</w:t>
            </w:r>
            <w:r w:rsidR="00FF73FD">
              <w:rPr>
                <w:rFonts w:ascii="Open Sans" w:hAnsi="Open Sans" w:cs="Open Sans"/>
                <w:color w:val="002060"/>
              </w:rPr>
              <w:t>38</w:t>
            </w:r>
          </w:p>
        </w:tc>
        <w:tc>
          <w:tcPr>
            <w:tcW w:w="8221" w:type="dxa"/>
          </w:tcPr>
          <w:p w14:paraId="5E7B368A" w14:textId="33612A10" w:rsidR="004B2685" w:rsidRPr="00EF36D6" w:rsidRDefault="004B2685" w:rsidP="003C7594">
            <w:pPr>
              <w:tabs>
                <w:tab w:val="left" w:pos="2003"/>
              </w:tabs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Two of the key messages featuring in the Children and Famil</w:t>
            </w:r>
            <w:r w:rsidR="00AF0EC0">
              <w:rPr>
                <w:rFonts w:ascii="Open Sans" w:hAnsi="Open Sans" w:cs="Open Sans"/>
                <w:color w:val="002060"/>
              </w:rPr>
              <w:t>ies</w:t>
            </w:r>
            <w:r>
              <w:rPr>
                <w:rFonts w:ascii="Open Sans" w:hAnsi="Open Sans" w:cs="Open Sans"/>
                <w:color w:val="002060"/>
              </w:rPr>
              <w:t xml:space="preserve"> act are </w:t>
            </w:r>
            <w:r w:rsidR="0058655A">
              <w:rPr>
                <w:rFonts w:ascii="Open Sans" w:hAnsi="Open Sans" w:cs="Open Sans"/>
                <w:color w:val="002060"/>
              </w:rPr>
              <w:t>that; preparation</w:t>
            </w:r>
            <w:r w:rsidR="007D4ECD">
              <w:rPr>
                <w:rFonts w:ascii="Open Sans" w:hAnsi="Open Sans" w:cs="Open Sans"/>
                <w:color w:val="002060"/>
              </w:rPr>
              <w:t xml:space="preserve"> </w:t>
            </w:r>
            <w:r w:rsidR="006A224E">
              <w:rPr>
                <w:rFonts w:ascii="Open Sans" w:hAnsi="Open Sans" w:cs="Open Sans"/>
                <w:color w:val="002060"/>
              </w:rPr>
              <w:t>for adulthood starts in early years, just as it does for other children</w:t>
            </w:r>
            <w:r w:rsidR="006A0988">
              <w:rPr>
                <w:rFonts w:ascii="Open Sans" w:hAnsi="Open Sans" w:cs="Open Sans"/>
                <w:color w:val="002060"/>
              </w:rPr>
              <w:t xml:space="preserve"> and all education providers are </w:t>
            </w:r>
            <w:r w:rsidR="00DD6185">
              <w:rPr>
                <w:rFonts w:ascii="Open Sans" w:hAnsi="Open Sans" w:cs="Open Sans"/>
                <w:color w:val="002060"/>
              </w:rPr>
              <w:t>required to establish and maintain a</w:t>
            </w:r>
            <w:r w:rsidR="00796981">
              <w:rPr>
                <w:rFonts w:ascii="Open Sans" w:hAnsi="Open Sans" w:cs="Open Sans"/>
                <w:color w:val="002060"/>
              </w:rPr>
              <w:t xml:space="preserve"> culture of</w:t>
            </w:r>
            <w:r w:rsidR="00DD6185">
              <w:rPr>
                <w:rFonts w:ascii="Open Sans" w:hAnsi="Open Sans" w:cs="Open Sans"/>
                <w:color w:val="002060"/>
              </w:rPr>
              <w:t xml:space="preserve"> high </w:t>
            </w:r>
            <w:r w:rsidR="00796981">
              <w:rPr>
                <w:rFonts w:ascii="Open Sans" w:hAnsi="Open Sans" w:cs="Open Sans"/>
                <w:color w:val="002060"/>
              </w:rPr>
              <w:t xml:space="preserve">expectations </w:t>
            </w:r>
            <w:r w:rsidR="00F93A97">
              <w:rPr>
                <w:rFonts w:ascii="Open Sans" w:hAnsi="Open Sans" w:cs="Open Sans"/>
                <w:color w:val="002060"/>
              </w:rPr>
              <w:t xml:space="preserve">so all children and young people can achieve well. </w:t>
            </w:r>
          </w:p>
        </w:tc>
      </w:tr>
      <w:tr w:rsidR="00EF36D6" w14:paraId="2F062FAD" w14:textId="77777777" w:rsidTr="00AC61A4">
        <w:tc>
          <w:tcPr>
            <w:tcW w:w="988" w:type="dxa"/>
          </w:tcPr>
          <w:p w14:paraId="61B1DFDC" w14:textId="108E9C37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00:5</w:t>
            </w:r>
            <w:r w:rsidR="00F93A97">
              <w:rPr>
                <w:rFonts w:ascii="Open Sans" w:hAnsi="Open Sans" w:cs="Open Sans"/>
                <w:color w:val="002060"/>
              </w:rPr>
              <w:t>9</w:t>
            </w:r>
          </w:p>
        </w:tc>
        <w:tc>
          <w:tcPr>
            <w:tcW w:w="8221" w:type="dxa"/>
          </w:tcPr>
          <w:p w14:paraId="7FE5D415" w14:textId="660A47C0" w:rsidR="00EF36D6" w:rsidRPr="00EF36D6" w:rsidRDefault="00F93A97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 xml:space="preserve">This means </w:t>
            </w:r>
            <w:r w:rsidR="005763AC">
              <w:rPr>
                <w:rFonts w:ascii="Open Sans" w:hAnsi="Open Sans" w:cs="Open Sans"/>
                <w:color w:val="002060"/>
              </w:rPr>
              <w:t xml:space="preserve">the goals set should be challenging, not just for the children </w:t>
            </w:r>
            <w:r w:rsidR="00A30E71">
              <w:rPr>
                <w:rFonts w:ascii="Open Sans" w:hAnsi="Open Sans" w:cs="Open Sans"/>
                <w:color w:val="002060"/>
              </w:rPr>
              <w:t xml:space="preserve">and young people, but for the education providers too. </w:t>
            </w:r>
            <w:r w:rsidR="00AA001E">
              <w:rPr>
                <w:rFonts w:ascii="Open Sans" w:hAnsi="Open Sans" w:cs="Open Sans"/>
                <w:color w:val="002060"/>
              </w:rPr>
              <w:t xml:space="preserve"> This requires plans to have a much wider scope</w:t>
            </w:r>
            <w:r w:rsidR="005A3E01">
              <w:rPr>
                <w:rFonts w:ascii="Open Sans" w:hAnsi="Open Sans" w:cs="Open Sans"/>
                <w:color w:val="002060"/>
              </w:rPr>
              <w:t xml:space="preserve"> than just a statement that generally only addressed the needs of an educational nature</w:t>
            </w:r>
            <w:r w:rsidR="00853123">
              <w:rPr>
                <w:rFonts w:ascii="Open Sans" w:hAnsi="Open Sans" w:cs="Open Sans"/>
                <w:color w:val="002060"/>
              </w:rPr>
              <w:t>.</w:t>
            </w:r>
          </w:p>
        </w:tc>
      </w:tr>
      <w:tr w:rsidR="00EF36D6" w14:paraId="78104E77" w14:textId="77777777" w:rsidTr="00AC61A4">
        <w:tc>
          <w:tcPr>
            <w:tcW w:w="988" w:type="dxa"/>
          </w:tcPr>
          <w:p w14:paraId="1B5FD80A" w14:textId="0302FAD7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01:</w:t>
            </w:r>
            <w:r w:rsidR="00853123">
              <w:rPr>
                <w:rFonts w:ascii="Open Sans" w:hAnsi="Open Sans" w:cs="Open Sans"/>
                <w:color w:val="002060"/>
              </w:rPr>
              <w:t>15</w:t>
            </w:r>
          </w:p>
        </w:tc>
        <w:tc>
          <w:tcPr>
            <w:tcW w:w="8221" w:type="dxa"/>
          </w:tcPr>
          <w:p w14:paraId="46EFC974" w14:textId="705C6B30" w:rsidR="00EF36D6" w:rsidRPr="00EF36D6" w:rsidRDefault="00853123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The Plan should wherever possible stretch across four themes</w:t>
            </w:r>
            <w:r w:rsidR="007D66D2">
              <w:rPr>
                <w:rFonts w:ascii="Open Sans" w:hAnsi="Open Sans" w:cs="Open Sans"/>
                <w:color w:val="002060"/>
              </w:rPr>
              <w:t xml:space="preserve"> ; learning and </w:t>
            </w:r>
            <w:r w:rsidR="002A410D">
              <w:rPr>
                <w:rFonts w:ascii="Open Sans" w:hAnsi="Open Sans" w:cs="Open Sans"/>
                <w:color w:val="002060"/>
              </w:rPr>
              <w:t>‘</w:t>
            </w:r>
            <w:r w:rsidR="007D66D2">
              <w:rPr>
                <w:rFonts w:ascii="Open Sans" w:hAnsi="Open Sans" w:cs="Open Sans"/>
                <w:color w:val="002060"/>
              </w:rPr>
              <w:t>future employ</w:t>
            </w:r>
            <w:r w:rsidR="00872C18">
              <w:rPr>
                <w:rFonts w:ascii="Open Sans" w:hAnsi="Open Sans" w:cs="Open Sans"/>
                <w:color w:val="002060"/>
              </w:rPr>
              <w:t>ment</w:t>
            </w:r>
            <w:r w:rsidR="002A410D">
              <w:rPr>
                <w:rFonts w:ascii="Open Sans" w:hAnsi="Open Sans" w:cs="Open Sans"/>
                <w:color w:val="002060"/>
              </w:rPr>
              <w:t>’</w:t>
            </w:r>
            <w:r w:rsidR="006D331B">
              <w:rPr>
                <w:rFonts w:ascii="Open Sans" w:hAnsi="Open Sans" w:cs="Open Sans"/>
                <w:color w:val="002060"/>
              </w:rPr>
              <w:t xml:space="preserve">, </w:t>
            </w:r>
            <w:r w:rsidR="002A410D">
              <w:rPr>
                <w:rFonts w:ascii="Open Sans" w:hAnsi="Open Sans" w:cs="Open Sans"/>
                <w:color w:val="002060"/>
              </w:rPr>
              <w:t>‘</w:t>
            </w:r>
            <w:r w:rsidR="008F40A2">
              <w:rPr>
                <w:rFonts w:ascii="Open Sans" w:hAnsi="Open Sans" w:cs="Open Sans"/>
                <w:color w:val="002060"/>
              </w:rPr>
              <w:t>home and indepe</w:t>
            </w:r>
            <w:r w:rsidR="006E1837">
              <w:rPr>
                <w:rFonts w:ascii="Open Sans" w:hAnsi="Open Sans" w:cs="Open Sans"/>
                <w:color w:val="002060"/>
              </w:rPr>
              <w:t>ndence</w:t>
            </w:r>
            <w:r w:rsidR="002A410D">
              <w:rPr>
                <w:rFonts w:ascii="Open Sans" w:hAnsi="Open Sans" w:cs="Open Sans"/>
                <w:color w:val="002060"/>
              </w:rPr>
              <w:t>’</w:t>
            </w:r>
            <w:r w:rsidR="006E1837">
              <w:rPr>
                <w:rFonts w:ascii="Open Sans" w:hAnsi="Open Sans" w:cs="Open Sans"/>
                <w:color w:val="002060"/>
              </w:rPr>
              <w:t xml:space="preserve">, </w:t>
            </w:r>
            <w:r w:rsidR="002A410D">
              <w:rPr>
                <w:rFonts w:ascii="Open Sans" w:hAnsi="Open Sans" w:cs="Open Sans"/>
                <w:color w:val="002060"/>
              </w:rPr>
              <w:t>‘</w:t>
            </w:r>
            <w:r w:rsidR="006E1837">
              <w:rPr>
                <w:rFonts w:ascii="Open Sans" w:hAnsi="Open Sans" w:cs="Open Sans"/>
                <w:color w:val="002060"/>
              </w:rPr>
              <w:t>friends, relationships and community</w:t>
            </w:r>
            <w:r w:rsidR="002A410D">
              <w:rPr>
                <w:rFonts w:ascii="Open Sans" w:hAnsi="Open Sans" w:cs="Open Sans"/>
                <w:color w:val="002060"/>
              </w:rPr>
              <w:t xml:space="preserve">’ and ‘health and wellbeing’. </w:t>
            </w:r>
          </w:p>
        </w:tc>
      </w:tr>
      <w:tr w:rsidR="00EF36D6" w14:paraId="05D1BCBF" w14:textId="77777777" w:rsidTr="00AC61A4">
        <w:tc>
          <w:tcPr>
            <w:tcW w:w="988" w:type="dxa"/>
          </w:tcPr>
          <w:p w14:paraId="249F1794" w14:textId="490AD3AF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01:</w:t>
            </w:r>
            <w:r w:rsidR="00264B5A">
              <w:rPr>
                <w:rFonts w:ascii="Open Sans" w:hAnsi="Open Sans" w:cs="Open Sans"/>
                <w:color w:val="002060"/>
              </w:rPr>
              <w:t>28</w:t>
            </w:r>
          </w:p>
        </w:tc>
        <w:tc>
          <w:tcPr>
            <w:tcW w:w="8221" w:type="dxa"/>
          </w:tcPr>
          <w:p w14:paraId="0658556C" w14:textId="4AD53AFF" w:rsidR="00EF36D6" w:rsidRPr="00EF36D6" w:rsidRDefault="00264B5A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 xml:space="preserve">Local Authorities </w:t>
            </w:r>
            <w:r w:rsidR="009118DF">
              <w:rPr>
                <w:rFonts w:ascii="Open Sans" w:hAnsi="Open Sans" w:cs="Open Sans"/>
                <w:color w:val="002060"/>
              </w:rPr>
              <w:t xml:space="preserve">must issue a plan for a child or </w:t>
            </w:r>
            <w:r w:rsidR="004150F1">
              <w:rPr>
                <w:rFonts w:ascii="Open Sans" w:hAnsi="Open Sans" w:cs="Open Sans"/>
                <w:color w:val="002060"/>
              </w:rPr>
              <w:t xml:space="preserve">young person who’s needs cannot be met </w:t>
            </w:r>
            <w:r w:rsidR="00077ED2">
              <w:rPr>
                <w:rFonts w:ascii="Open Sans" w:hAnsi="Open Sans" w:cs="Open Sans"/>
                <w:color w:val="002060"/>
              </w:rPr>
              <w:t xml:space="preserve">from the expected budget in mainstream schools or settings </w:t>
            </w:r>
            <w:r w:rsidR="00A006F6">
              <w:rPr>
                <w:rFonts w:ascii="Open Sans" w:hAnsi="Open Sans" w:cs="Open Sans"/>
                <w:color w:val="002060"/>
              </w:rPr>
              <w:t xml:space="preserve">and for those who attend special schools or specialist colleges </w:t>
            </w:r>
          </w:p>
        </w:tc>
      </w:tr>
      <w:tr w:rsidR="00EF36D6" w14:paraId="78751B4B" w14:textId="77777777" w:rsidTr="00AC61A4">
        <w:tc>
          <w:tcPr>
            <w:tcW w:w="988" w:type="dxa"/>
          </w:tcPr>
          <w:p w14:paraId="5A429AD1" w14:textId="1D70DB7C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01:</w:t>
            </w:r>
            <w:r w:rsidR="00AE730C">
              <w:rPr>
                <w:rFonts w:ascii="Open Sans" w:hAnsi="Open Sans" w:cs="Open Sans"/>
                <w:color w:val="002060"/>
              </w:rPr>
              <w:t>43</w:t>
            </w:r>
          </w:p>
        </w:tc>
        <w:tc>
          <w:tcPr>
            <w:tcW w:w="8221" w:type="dxa"/>
          </w:tcPr>
          <w:p w14:paraId="483A1CF1" w14:textId="5A2D1242" w:rsidR="00EF36D6" w:rsidRPr="00EF36D6" w:rsidRDefault="004F7205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 xml:space="preserve">EHCPs have seventeen sections </w:t>
            </w:r>
            <w:r w:rsidR="001D3DE5">
              <w:rPr>
                <w:rFonts w:ascii="Open Sans" w:hAnsi="Open Sans" w:cs="Open Sans"/>
                <w:color w:val="002060"/>
              </w:rPr>
              <w:t xml:space="preserve">labelled A-K. Each section has a different purpose </w:t>
            </w:r>
            <w:r w:rsidR="00B92F69">
              <w:rPr>
                <w:rFonts w:ascii="Open Sans" w:hAnsi="Open Sans" w:cs="Open Sans"/>
                <w:color w:val="002060"/>
              </w:rPr>
              <w:t>and it is a legally binding document</w:t>
            </w:r>
            <w:r w:rsidR="0085074D">
              <w:rPr>
                <w:rFonts w:ascii="Open Sans" w:hAnsi="Open Sans" w:cs="Open Sans"/>
                <w:color w:val="002060"/>
              </w:rPr>
              <w:t>, meaning that certain things in it must happen</w:t>
            </w:r>
            <w:r w:rsidR="00A6735C">
              <w:rPr>
                <w:rFonts w:ascii="Open Sans" w:hAnsi="Open Sans" w:cs="Open Sans"/>
                <w:color w:val="002060"/>
              </w:rPr>
              <w:t>.</w:t>
            </w:r>
          </w:p>
        </w:tc>
      </w:tr>
      <w:tr w:rsidR="00EF36D6" w14:paraId="2B5CF666" w14:textId="77777777" w:rsidTr="00AC61A4">
        <w:tc>
          <w:tcPr>
            <w:tcW w:w="988" w:type="dxa"/>
          </w:tcPr>
          <w:p w14:paraId="3FA512F8" w14:textId="77777777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01:38</w:t>
            </w:r>
          </w:p>
        </w:tc>
        <w:tc>
          <w:tcPr>
            <w:tcW w:w="8221" w:type="dxa"/>
          </w:tcPr>
          <w:p w14:paraId="3AD57E59" w14:textId="65FDC335" w:rsidR="00EF36D6" w:rsidRPr="00EF36D6" w:rsidRDefault="00245440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 xml:space="preserve">The contents of the EHCP are intended to be creative and a shared </w:t>
            </w:r>
            <w:r w:rsidR="007F62D8">
              <w:rPr>
                <w:rFonts w:ascii="Open Sans" w:hAnsi="Open Sans" w:cs="Open Sans"/>
                <w:color w:val="002060"/>
              </w:rPr>
              <w:t xml:space="preserve">challenge of all those involved in order to achieve the best possible </w:t>
            </w:r>
            <w:r w:rsidR="00A67459">
              <w:rPr>
                <w:rFonts w:ascii="Open Sans" w:hAnsi="Open Sans" w:cs="Open Sans"/>
                <w:color w:val="002060"/>
              </w:rPr>
              <w:t>results and outcomes for the child or young person.</w:t>
            </w:r>
          </w:p>
        </w:tc>
      </w:tr>
      <w:tr w:rsidR="00EF36D6" w14:paraId="4F795B11" w14:textId="77777777" w:rsidTr="00AC61A4">
        <w:tc>
          <w:tcPr>
            <w:tcW w:w="988" w:type="dxa"/>
          </w:tcPr>
          <w:p w14:paraId="28656745" w14:textId="2C9482CF" w:rsidR="00EF36D6" w:rsidRPr="00EF36D6" w:rsidRDefault="00A67459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02:08</w:t>
            </w:r>
          </w:p>
        </w:tc>
        <w:tc>
          <w:tcPr>
            <w:tcW w:w="8221" w:type="dxa"/>
          </w:tcPr>
          <w:p w14:paraId="55378F17" w14:textId="0756CDAC" w:rsidR="006F1E92" w:rsidRPr="00A43750" w:rsidRDefault="00A67459" w:rsidP="00A4375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Open Sans" w:hAnsi="Open Sans" w:cs="Open Sans"/>
                <w:color w:val="002060"/>
              </w:rPr>
              <w:t xml:space="preserve">In developing a plan the Local Authorities have a duty to take into account </w:t>
            </w:r>
            <w:r w:rsidR="0033420A">
              <w:rPr>
                <w:rFonts w:ascii="Open Sans" w:hAnsi="Open Sans" w:cs="Open Sans"/>
                <w:color w:val="002060"/>
              </w:rPr>
              <w:t xml:space="preserve">section 19 principles </w:t>
            </w:r>
            <w:r w:rsidR="006F1E92">
              <w:rPr>
                <w:rFonts w:ascii="Open Sans" w:hAnsi="Open Sans" w:cs="Open Sans"/>
                <w:color w:val="002060"/>
              </w:rPr>
              <w:t xml:space="preserve">and must have regard to; the view, wishes and feelings </w:t>
            </w:r>
            <w:r w:rsidR="005F190B">
              <w:rPr>
                <w:rFonts w:ascii="Open Sans" w:hAnsi="Open Sans" w:cs="Open Sans"/>
                <w:color w:val="002060"/>
              </w:rPr>
              <w:t>o</w:t>
            </w:r>
            <w:r w:rsidR="00F507FF">
              <w:rPr>
                <w:rFonts w:ascii="Open Sans" w:hAnsi="Open Sans" w:cs="Open Sans"/>
                <w:color w:val="002060"/>
              </w:rPr>
              <w:t xml:space="preserve">f the child or young person or </w:t>
            </w:r>
            <w:r w:rsidR="005F190B">
              <w:rPr>
                <w:rFonts w:ascii="Open Sans" w:hAnsi="Open Sans" w:cs="Open Sans"/>
                <w:color w:val="002060"/>
              </w:rPr>
              <w:t xml:space="preserve">parent, the importance of their full participation </w:t>
            </w:r>
            <w:r w:rsidR="000D243B">
              <w:rPr>
                <w:rFonts w:ascii="Open Sans" w:hAnsi="Open Sans" w:cs="Open Sans"/>
                <w:color w:val="002060"/>
              </w:rPr>
              <w:t xml:space="preserve">in decisions, the importance of their being provided with the necessary information </w:t>
            </w:r>
            <w:r w:rsidR="00F561A2">
              <w:rPr>
                <w:rFonts w:ascii="Open Sans" w:hAnsi="Open Sans" w:cs="Open Sans"/>
                <w:color w:val="002060"/>
              </w:rPr>
              <w:t xml:space="preserve">and support to participate and the need to support the </w:t>
            </w:r>
            <w:r w:rsidR="00353C01">
              <w:rPr>
                <w:rFonts w:ascii="Open Sans" w:hAnsi="Open Sans" w:cs="Open Sans"/>
                <w:color w:val="002060"/>
              </w:rPr>
              <w:lastRenderedPageBreak/>
              <w:t>child or young person to achieve the best</w:t>
            </w:r>
            <w:r w:rsidR="00134AFF">
              <w:rPr>
                <w:rFonts w:ascii="Open Sans" w:hAnsi="Open Sans" w:cs="Open Sans"/>
                <w:color w:val="002060"/>
              </w:rPr>
              <w:t xml:space="preserve"> possible educational and other outcomes preparing them effectively for adulthood</w:t>
            </w:r>
            <w:r w:rsidR="00A43750">
              <w:rPr>
                <w:rFonts w:ascii="Open Sans" w:hAnsi="Open Sans" w:cs="Open Sans"/>
                <w:color w:val="002060"/>
              </w:rPr>
              <w:t>.</w:t>
            </w:r>
          </w:p>
        </w:tc>
      </w:tr>
      <w:tr w:rsidR="00EF36D6" w14:paraId="56051314" w14:textId="77777777" w:rsidTr="00AC61A4">
        <w:tc>
          <w:tcPr>
            <w:tcW w:w="988" w:type="dxa"/>
          </w:tcPr>
          <w:p w14:paraId="7DA782B9" w14:textId="71D798FD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lastRenderedPageBreak/>
              <w:t>0</w:t>
            </w:r>
            <w:r w:rsidR="00D34269">
              <w:rPr>
                <w:rFonts w:ascii="Open Sans" w:hAnsi="Open Sans" w:cs="Open Sans"/>
                <w:color w:val="002060"/>
              </w:rPr>
              <w:t>2:37</w:t>
            </w:r>
          </w:p>
        </w:tc>
        <w:tc>
          <w:tcPr>
            <w:tcW w:w="8221" w:type="dxa"/>
          </w:tcPr>
          <w:p w14:paraId="1E4EF476" w14:textId="7F80D759" w:rsidR="00EF36D6" w:rsidRPr="00EF36D6" w:rsidRDefault="00D34269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How can you find out more and access local services</w:t>
            </w:r>
            <w:r w:rsidR="007C4ECA">
              <w:rPr>
                <w:rFonts w:ascii="Open Sans" w:hAnsi="Open Sans" w:cs="Open Sans"/>
                <w:color w:val="002060"/>
              </w:rPr>
              <w:t xml:space="preserve"> and support?</w:t>
            </w:r>
          </w:p>
        </w:tc>
      </w:tr>
      <w:tr w:rsidR="00EF36D6" w14:paraId="7C705DC9" w14:textId="77777777" w:rsidTr="00AC61A4">
        <w:tc>
          <w:tcPr>
            <w:tcW w:w="988" w:type="dxa"/>
          </w:tcPr>
          <w:p w14:paraId="1BB9D9A8" w14:textId="2170B40A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02:</w:t>
            </w:r>
            <w:r w:rsidR="007C4ECA">
              <w:rPr>
                <w:rFonts w:ascii="Open Sans" w:hAnsi="Open Sans" w:cs="Open Sans"/>
                <w:color w:val="002060"/>
              </w:rPr>
              <w:t>44</w:t>
            </w:r>
          </w:p>
        </w:tc>
        <w:tc>
          <w:tcPr>
            <w:tcW w:w="8221" w:type="dxa"/>
          </w:tcPr>
          <w:p w14:paraId="43DFD161" w14:textId="70D6B0BB" w:rsidR="00256CE1" w:rsidRPr="00EF36D6" w:rsidRDefault="007C4ECA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 xml:space="preserve">You can find out more about the SEN reforms </w:t>
            </w:r>
            <w:r w:rsidR="00237389">
              <w:rPr>
                <w:rFonts w:ascii="Open Sans" w:hAnsi="Open Sans" w:cs="Open Sans"/>
                <w:color w:val="002060"/>
              </w:rPr>
              <w:t xml:space="preserve">and the Education, Health and Care planning process by visiting the local offer page </w:t>
            </w:r>
            <w:r w:rsidR="00256CE1">
              <w:rPr>
                <w:rFonts w:ascii="Open Sans" w:hAnsi="Open Sans" w:cs="Open Sans"/>
                <w:color w:val="002060"/>
              </w:rPr>
              <w:t>on your local authority website.</w:t>
            </w:r>
          </w:p>
        </w:tc>
      </w:tr>
      <w:tr w:rsidR="00256CE1" w14:paraId="5256DFC9" w14:textId="77777777" w:rsidTr="00AC61A4">
        <w:tc>
          <w:tcPr>
            <w:tcW w:w="988" w:type="dxa"/>
          </w:tcPr>
          <w:p w14:paraId="29A2D6C5" w14:textId="1252D01F" w:rsidR="00256CE1" w:rsidRPr="00EF36D6" w:rsidRDefault="00E251F0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02:53</w:t>
            </w:r>
          </w:p>
        </w:tc>
        <w:tc>
          <w:tcPr>
            <w:tcW w:w="8221" w:type="dxa"/>
          </w:tcPr>
          <w:p w14:paraId="671601FB" w14:textId="5BC799A0" w:rsidR="00256CE1" w:rsidRDefault="00E251F0" w:rsidP="00E251F0">
            <w:pPr>
              <w:tabs>
                <w:tab w:val="left" w:pos="2143"/>
              </w:tabs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Here you will be able to find impartial info</w:t>
            </w:r>
            <w:r w:rsidR="000E15C3">
              <w:rPr>
                <w:rFonts w:ascii="Open Sans" w:hAnsi="Open Sans" w:cs="Open Sans"/>
                <w:color w:val="002060"/>
              </w:rPr>
              <w:t>rmation</w:t>
            </w:r>
            <w:r>
              <w:rPr>
                <w:rFonts w:ascii="Open Sans" w:hAnsi="Open Sans" w:cs="Open Sans"/>
                <w:color w:val="002060"/>
              </w:rPr>
              <w:t xml:space="preserve"> advice</w:t>
            </w:r>
            <w:r w:rsidR="000E15C3">
              <w:rPr>
                <w:rFonts w:ascii="Open Sans" w:hAnsi="Open Sans" w:cs="Open Sans"/>
                <w:color w:val="002060"/>
              </w:rPr>
              <w:t xml:space="preserve"> and</w:t>
            </w:r>
            <w:r>
              <w:rPr>
                <w:rFonts w:ascii="Open Sans" w:hAnsi="Open Sans" w:cs="Open Sans"/>
                <w:color w:val="002060"/>
              </w:rPr>
              <w:t xml:space="preserve"> support </w:t>
            </w:r>
            <w:r w:rsidR="00B900AA">
              <w:rPr>
                <w:rFonts w:ascii="Open Sans" w:hAnsi="Open Sans" w:cs="Open Sans"/>
                <w:color w:val="002060"/>
              </w:rPr>
              <w:t xml:space="preserve">and learn about all the services that are available for you. Parents who require additional support are referred to their local </w:t>
            </w:r>
            <w:r w:rsidR="00582AEA">
              <w:rPr>
                <w:rFonts w:ascii="Open Sans" w:hAnsi="Open Sans" w:cs="Open Sans"/>
                <w:color w:val="002060"/>
              </w:rPr>
              <w:t>Information Advice, Support Service</w:t>
            </w:r>
          </w:p>
        </w:tc>
      </w:tr>
      <w:tr w:rsidR="002649F7" w14:paraId="2551818C" w14:textId="77777777" w:rsidTr="00AC61A4">
        <w:tc>
          <w:tcPr>
            <w:tcW w:w="988" w:type="dxa"/>
          </w:tcPr>
          <w:p w14:paraId="25885192" w14:textId="3A7DC0C8" w:rsidR="002649F7" w:rsidRDefault="002649F7" w:rsidP="00AC61A4">
            <w:pPr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>03</w:t>
            </w:r>
            <w:r w:rsidR="004D2446">
              <w:rPr>
                <w:rFonts w:ascii="Open Sans" w:hAnsi="Open Sans" w:cs="Open Sans"/>
                <w:color w:val="002060"/>
              </w:rPr>
              <w:t>:06</w:t>
            </w:r>
          </w:p>
        </w:tc>
        <w:tc>
          <w:tcPr>
            <w:tcW w:w="8221" w:type="dxa"/>
          </w:tcPr>
          <w:p w14:paraId="79AE0DBA" w14:textId="75270C2E" w:rsidR="002649F7" w:rsidRDefault="004D2446" w:rsidP="00E251F0">
            <w:pPr>
              <w:tabs>
                <w:tab w:val="left" w:pos="2143"/>
              </w:tabs>
              <w:rPr>
                <w:rFonts w:ascii="Open Sans" w:hAnsi="Open Sans" w:cs="Open Sans"/>
                <w:color w:val="002060"/>
              </w:rPr>
            </w:pPr>
            <w:r>
              <w:rPr>
                <w:rFonts w:ascii="Open Sans" w:hAnsi="Open Sans" w:cs="Open Sans"/>
                <w:color w:val="002060"/>
              </w:rPr>
              <w:t xml:space="preserve">Further information </w:t>
            </w:r>
            <w:r w:rsidR="00F4045A">
              <w:rPr>
                <w:rFonts w:ascii="Open Sans" w:hAnsi="Open Sans" w:cs="Open Sans"/>
                <w:color w:val="002060"/>
              </w:rPr>
              <w:t xml:space="preserve">including useful resources </w:t>
            </w:r>
            <w:r>
              <w:rPr>
                <w:rFonts w:ascii="Open Sans" w:hAnsi="Open Sans" w:cs="Open Sans"/>
                <w:color w:val="002060"/>
              </w:rPr>
              <w:t xml:space="preserve">about writing good </w:t>
            </w:r>
            <w:r w:rsidR="00F4045A">
              <w:rPr>
                <w:rFonts w:ascii="Open Sans" w:hAnsi="Open Sans" w:cs="Open Sans"/>
                <w:color w:val="002060"/>
              </w:rPr>
              <w:t xml:space="preserve">quality EHC plans can be found at </w:t>
            </w:r>
            <w:r w:rsidR="00405675" w:rsidRPr="009916BE">
              <w:t xml:space="preserve"> </w:t>
            </w:r>
            <w:hyperlink r:id="rId7" w:history="1">
              <w:r w:rsidR="008663DC" w:rsidRPr="003657BF">
                <w:rPr>
                  <w:rStyle w:val="Hyperlink"/>
                </w:rPr>
                <w:t>www.</w:t>
              </w:r>
              <w:r w:rsidR="008663DC" w:rsidRPr="003657BF">
                <w:rPr>
                  <w:rStyle w:val="Hyperlink"/>
                  <w:rFonts w:ascii="Open Sans" w:hAnsi="Open Sans" w:cs="Open Sans"/>
                </w:rPr>
                <w:t>councilfordisabledchildren.org.uk</w:t>
              </w:r>
            </w:hyperlink>
            <w:r w:rsidR="008663DC">
              <w:rPr>
                <w:rFonts w:ascii="Open Sans" w:hAnsi="Open Sans" w:cs="Open Sans"/>
                <w:color w:val="002060"/>
              </w:rPr>
              <w:t xml:space="preserve"> </w:t>
            </w:r>
          </w:p>
        </w:tc>
      </w:tr>
      <w:tr w:rsidR="00EF36D6" w14:paraId="75E9AF58" w14:textId="77777777" w:rsidTr="00AC61A4">
        <w:tc>
          <w:tcPr>
            <w:tcW w:w="988" w:type="dxa"/>
          </w:tcPr>
          <w:p w14:paraId="70650050" w14:textId="22ED7AAD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0</w:t>
            </w:r>
            <w:r w:rsidR="00405675">
              <w:rPr>
                <w:rFonts w:ascii="Open Sans" w:hAnsi="Open Sans" w:cs="Open Sans"/>
                <w:color w:val="002060"/>
              </w:rPr>
              <w:t>3</w:t>
            </w:r>
            <w:r w:rsidRPr="00EF36D6">
              <w:rPr>
                <w:rFonts w:ascii="Open Sans" w:hAnsi="Open Sans" w:cs="Open Sans"/>
                <w:color w:val="002060"/>
              </w:rPr>
              <w:t>:1</w:t>
            </w:r>
            <w:r w:rsidR="00405675">
              <w:rPr>
                <w:rFonts w:ascii="Open Sans" w:hAnsi="Open Sans" w:cs="Open Sans"/>
                <w:color w:val="002060"/>
              </w:rPr>
              <w:t>7</w:t>
            </w:r>
          </w:p>
        </w:tc>
        <w:tc>
          <w:tcPr>
            <w:tcW w:w="8221" w:type="dxa"/>
          </w:tcPr>
          <w:p w14:paraId="6DC9E882" w14:textId="77777777" w:rsidR="00EF36D6" w:rsidRPr="00EF36D6" w:rsidRDefault="00EF36D6" w:rsidP="00AC61A4">
            <w:pPr>
              <w:rPr>
                <w:rFonts w:ascii="Open Sans" w:hAnsi="Open Sans" w:cs="Open Sans"/>
                <w:color w:val="002060"/>
              </w:rPr>
            </w:pPr>
            <w:r w:rsidRPr="00EF36D6">
              <w:rPr>
                <w:rFonts w:ascii="Open Sans" w:hAnsi="Open Sans" w:cs="Open Sans"/>
                <w:color w:val="002060"/>
              </w:rPr>
              <w:t>End of Video</w:t>
            </w:r>
          </w:p>
        </w:tc>
      </w:tr>
    </w:tbl>
    <w:p w14:paraId="469CD623" w14:textId="77777777" w:rsidR="00866046" w:rsidRPr="00866046" w:rsidRDefault="00866046" w:rsidP="00866046">
      <w:pPr>
        <w:jc w:val="center"/>
        <w:rPr>
          <w:b/>
          <w:bCs/>
          <w:sz w:val="28"/>
          <w:szCs w:val="28"/>
        </w:rPr>
      </w:pPr>
    </w:p>
    <w:sectPr w:rsidR="00866046" w:rsidRPr="00866046" w:rsidSect="00032F61">
      <w:headerReference w:type="first" r:id="rId8"/>
      <w:pgSz w:w="11906" w:h="16838"/>
      <w:pgMar w:top="568" w:right="991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0A0F" w14:textId="77777777" w:rsidR="007E38BD" w:rsidRDefault="007E38BD" w:rsidP="00EF36D6">
      <w:pPr>
        <w:spacing w:after="0" w:line="240" w:lineRule="auto"/>
      </w:pPr>
      <w:r>
        <w:separator/>
      </w:r>
    </w:p>
  </w:endnote>
  <w:endnote w:type="continuationSeparator" w:id="0">
    <w:p w14:paraId="6809B020" w14:textId="77777777" w:rsidR="007E38BD" w:rsidRDefault="007E38BD" w:rsidP="00EF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7050" w14:textId="77777777" w:rsidR="007E38BD" w:rsidRDefault="007E38BD" w:rsidP="00EF36D6">
      <w:pPr>
        <w:spacing w:after="0" w:line="240" w:lineRule="auto"/>
      </w:pPr>
      <w:r>
        <w:separator/>
      </w:r>
    </w:p>
  </w:footnote>
  <w:footnote w:type="continuationSeparator" w:id="0">
    <w:p w14:paraId="0E17280D" w14:textId="77777777" w:rsidR="007E38BD" w:rsidRDefault="007E38BD" w:rsidP="00EF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930D" w14:textId="3CC5ED32" w:rsidR="00EF36D6" w:rsidRDefault="002B5828" w:rsidP="00446D2D">
    <w:pPr>
      <w:ind w:left="-426" w:right="-567"/>
      <w:rPr>
        <w:b/>
        <w:bCs/>
        <w:color w:val="002060"/>
        <w:sz w:val="28"/>
        <w:szCs w:val="28"/>
      </w:rPr>
    </w:pPr>
    <w:r>
      <w:rPr>
        <w:rFonts w:ascii="Open Sans" w:hAnsi="Open Sans" w:cs="Open Sans"/>
        <w:b/>
        <w:bCs/>
        <w:color w:val="002060"/>
        <w:sz w:val="28"/>
        <w:szCs w:val="28"/>
      </w:rPr>
      <w:t xml:space="preserve">                                                IASS Video Transcript                                 </w:t>
    </w:r>
    <w:r w:rsidR="00AC61A4" w:rsidRPr="00AC61A4">
      <w:rPr>
        <w:b/>
        <w:bCs/>
        <w:color w:val="002060"/>
        <w:sz w:val="28"/>
        <w:szCs w:val="28"/>
      </w:rPr>
      <w:t xml:space="preserve">  </w:t>
    </w:r>
    <w:r w:rsidR="00AC61A4">
      <w:rPr>
        <w:noProof/>
      </w:rPr>
      <w:drawing>
        <wp:inline distT="0" distB="0" distL="0" distR="0" wp14:anchorId="6CF1B8E1" wp14:editId="44E0CD86">
          <wp:extent cx="800100" cy="600075"/>
          <wp:effectExtent l="0" t="0" r="0" b="9525"/>
          <wp:docPr id="20" name="Picture 20" descr="IASS_logo_WE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IASS_logo_WE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F3568" w14:textId="2753C325" w:rsidR="00EF36D6" w:rsidRPr="000F5D44" w:rsidRDefault="002B5828" w:rsidP="000F5D44">
    <w:pPr>
      <w:ind w:left="-426" w:right="-567"/>
      <w:jc w:val="center"/>
      <w:rPr>
        <w:rFonts w:ascii="Open Sans" w:hAnsi="Open Sans" w:cs="Open Sans"/>
        <w:b/>
        <w:bCs/>
        <w:color w:val="002060"/>
        <w:sz w:val="28"/>
        <w:szCs w:val="28"/>
      </w:rPr>
    </w:pPr>
    <w:r>
      <w:rPr>
        <w:rFonts w:ascii="Open Sans" w:hAnsi="Open Sans" w:cs="Open Sans"/>
        <w:b/>
        <w:bCs/>
        <w:color w:val="002060"/>
        <w:sz w:val="28"/>
        <w:szCs w:val="28"/>
      </w:rPr>
      <w:t xml:space="preserve">What is </w:t>
    </w:r>
    <w:r w:rsidR="000F5D44">
      <w:rPr>
        <w:rFonts w:ascii="Open Sans" w:hAnsi="Open Sans" w:cs="Open Sans"/>
        <w:b/>
        <w:bCs/>
        <w:color w:val="002060"/>
        <w:sz w:val="28"/>
        <w:szCs w:val="28"/>
      </w:rPr>
      <w:t>Education, Health and Care Plan</w:t>
    </w:r>
    <w:r>
      <w:rPr>
        <w:rFonts w:ascii="Open Sans" w:hAnsi="Open Sans" w:cs="Open Sans"/>
        <w:b/>
        <w:bCs/>
        <w:color w:val="002060"/>
        <w:sz w:val="28"/>
        <w:szCs w:val="28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65"/>
    <w:rsid w:val="00014F2B"/>
    <w:rsid w:val="0002641F"/>
    <w:rsid w:val="00032F61"/>
    <w:rsid w:val="00077ED2"/>
    <w:rsid w:val="000D243B"/>
    <w:rsid w:val="000E15C3"/>
    <w:rsid w:val="000F5D44"/>
    <w:rsid w:val="00134AFF"/>
    <w:rsid w:val="001857D2"/>
    <w:rsid w:val="001D3DE5"/>
    <w:rsid w:val="0020514D"/>
    <w:rsid w:val="00237389"/>
    <w:rsid w:val="00245440"/>
    <w:rsid w:val="00256CE1"/>
    <w:rsid w:val="002649F7"/>
    <w:rsid w:val="00264B5A"/>
    <w:rsid w:val="002A410D"/>
    <w:rsid w:val="002B5828"/>
    <w:rsid w:val="0033420A"/>
    <w:rsid w:val="00353C01"/>
    <w:rsid w:val="003C7594"/>
    <w:rsid w:val="00405675"/>
    <w:rsid w:val="004150F1"/>
    <w:rsid w:val="00437C2D"/>
    <w:rsid w:val="00446D2D"/>
    <w:rsid w:val="004B2685"/>
    <w:rsid w:val="004D2446"/>
    <w:rsid w:val="004E1B65"/>
    <w:rsid w:val="004F7205"/>
    <w:rsid w:val="005763AC"/>
    <w:rsid w:val="00582AEA"/>
    <w:rsid w:val="0058655A"/>
    <w:rsid w:val="005A3E01"/>
    <w:rsid w:val="005F190B"/>
    <w:rsid w:val="006220E4"/>
    <w:rsid w:val="006A0988"/>
    <w:rsid w:val="006A224E"/>
    <w:rsid w:val="006B0B09"/>
    <w:rsid w:val="006D331B"/>
    <w:rsid w:val="006E1837"/>
    <w:rsid w:val="006F1E92"/>
    <w:rsid w:val="00796981"/>
    <w:rsid w:val="007C4ECA"/>
    <w:rsid w:val="007D4ECD"/>
    <w:rsid w:val="007D66D2"/>
    <w:rsid w:val="007E38BD"/>
    <w:rsid w:val="007F62D8"/>
    <w:rsid w:val="0085074D"/>
    <w:rsid w:val="00853123"/>
    <w:rsid w:val="00866046"/>
    <w:rsid w:val="008663DC"/>
    <w:rsid w:val="00872C18"/>
    <w:rsid w:val="008F40A2"/>
    <w:rsid w:val="009118DF"/>
    <w:rsid w:val="00A006F6"/>
    <w:rsid w:val="00A30E71"/>
    <w:rsid w:val="00A43750"/>
    <w:rsid w:val="00A6735C"/>
    <w:rsid w:val="00A67459"/>
    <w:rsid w:val="00AA001E"/>
    <w:rsid w:val="00AC61A4"/>
    <w:rsid w:val="00AC6C95"/>
    <w:rsid w:val="00AE730C"/>
    <w:rsid w:val="00AF0EC0"/>
    <w:rsid w:val="00B900AA"/>
    <w:rsid w:val="00B92F69"/>
    <w:rsid w:val="00BF1528"/>
    <w:rsid w:val="00D34269"/>
    <w:rsid w:val="00D6127A"/>
    <w:rsid w:val="00DD6185"/>
    <w:rsid w:val="00E228EB"/>
    <w:rsid w:val="00E251F0"/>
    <w:rsid w:val="00EF36D6"/>
    <w:rsid w:val="00F4045A"/>
    <w:rsid w:val="00F507FF"/>
    <w:rsid w:val="00F55310"/>
    <w:rsid w:val="00F561A2"/>
    <w:rsid w:val="00F93A97"/>
    <w:rsid w:val="00FC3493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C4160"/>
  <w15:chartTrackingRefBased/>
  <w15:docId w15:val="{D3B96C3C-18DE-46F8-8466-38409515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1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3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D6"/>
  </w:style>
  <w:style w:type="paragraph" w:styleId="Footer">
    <w:name w:val="footer"/>
    <w:basedOn w:val="Normal"/>
    <w:link w:val="FooterChar"/>
    <w:uiPriority w:val="99"/>
    <w:unhideWhenUsed/>
    <w:rsid w:val="00EF3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uncilfordisabledchildre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Chowdhury, Rahmin: WCC</dc:creator>
  <cp:keywords/>
  <dc:description/>
  <cp:lastModifiedBy>Chowdhury, Rahmin: WCC</cp:lastModifiedBy>
  <cp:revision>3</cp:revision>
  <dcterms:created xsi:type="dcterms:W3CDTF">2023-02-07T15:59:00Z</dcterms:created>
  <dcterms:modified xsi:type="dcterms:W3CDTF">2023-02-07T16:01:00Z</dcterms:modified>
</cp:coreProperties>
</file>