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BD41" w14:textId="77777777" w:rsidR="00446D2D" w:rsidRDefault="00446D2D" w:rsidP="00446D2D">
      <w:pPr>
        <w:ind w:left="-284" w:right="-425"/>
        <w:jc w:val="center"/>
        <w:rPr>
          <w:noProof/>
        </w:rPr>
      </w:pPr>
    </w:p>
    <w:p w14:paraId="536D6FD4" w14:textId="40FEFD49" w:rsidR="00EF36D6" w:rsidRDefault="00AC61A4" w:rsidP="00446D2D">
      <w:pPr>
        <w:ind w:left="-284" w:right="-425"/>
        <w:jc w:val="center"/>
        <w:rPr>
          <w:noProof/>
        </w:rPr>
      </w:pPr>
      <w:r w:rsidRPr="00EF36D6">
        <w:rPr>
          <w:noProof/>
        </w:rPr>
        <w:drawing>
          <wp:inline distT="0" distB="0" distL="0" distR="0" wp14:anchorId="3E0CA4B9" wp14:editId="1DBB6112">
            <wp:extent cx="2080895" cy="1171575"/>
            <wp:effectExtent l="0" t="0" r="0" b="9525"/>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6"/>
                    <a:stretch>
                      <a:fillRect/>
                    </a:stretch>
                  </pic:blipFill>
                  <pic:spPr>
                    <a:xfrm>
                      <a:off x="0" y="0"/>
                      <a:ext cx="2126958" cy="1197509"/>
                    </a:xfrm>
                    <a:prstGeom prst="rect">
                      <a:avLst/>
                    </a:prstGeom>
                  </pic:spPr>
                </pic:pic>
              </a:graphicData>
            </a:graphic>
          </wp:inline>
        </w:drawing>
      </w:r>
      <w:r w:rsidR="00EF36D6">
        <w:rPr>
          <w:noProof/>
        </w:rPr>
        <w:t xml:space="preserve">           </w:t>
      </w:r>
    </w:p>
    <w:p w14:paraId="71FE0E03" w14:textId="766EFC67" w:rsidR="00EF36D6" w:rsidRDefault="00EF36D6" w:rsidP="00EF36D6">
      <w:pPr>
        <w:jc w:val="center"/>
        <w:rPr>
          <w:b/>
          <w:bCs/>
          <w:sz w:val="28"/>
          <w:szCs w:val="28"/>
        </w:rPr>
      </w:pPr>
      <w:r>
        <w:rPr>
          <w:noProof/>
        </w:rPr>
        <w:t xml:space="preserve"> </w:t>
      </w:r>
    </w:p>
    <w:tbl>
      <w:tblPr>
        <w:tblStyle w:val="TableGrid"/>
        <w:tblpPr w:leftFromText="180" w:rightFromText="180" w:vertAnchor="page" w:horzAnchor="margin" w:tblpY="4471"/>
        <w:tblW w:w="9209" w:type="dxa"/>
        <w:tblLook w:val="04A0" w:firstRow="1" w:lastRow="0" w:firstColumn="1" w:lastColumn="0" w:noHBand="0" w:noVBand="1"/>
      </w:tblPr>
      <w:tblGrid>
        <w:gridCol w:w="988"/>
        <w:gridCol w:w="8221"/>
      </w:tblGrid>
      <w:tr w:rsidR="00EF36D6" w14:paraId="5783D340" w14:textId="77777777" w:rsidTr="00AC61A4">
        <w:tc>
          <w:tcPr>
            <w:tcW w:w="988" w:type="dxa"/>
          </w:tcPr>
          <w:p w14:paraId="0C057A01" w14:textId="77777777" w:rsidR="00EF36D6" w:rsidRPr="00EF36D6" w:rsidRDefault="00EF36D6" w:rsidP="00AC61A4">
            <w:pPr>
              <w:rPr>
                <w:rFonts w:ascii="Open Sans" w:hAnsi="Open Sans" w:cs="Open Sans"/>
                <w:b/>
                <w:bCs/>
                <w:color w:val="002060"/>
              </w:rPr>
            </w:pPr>
            <w:r w:rsidRPr="00EF36D6">
              <w:rPr>
                <w:rFonts w:ascii="Open Sans" w:hAnsi="Open Sans" w:cs="Open Sans"/>
                <w:b/>
                <w:bCs/>
                <w:color w:val="002060"/>
              </w:rPr>
              <w:t>Time</w:t>
            </w:r>
            <w:r>
              <w:rPr>
                <w:rFonts w:ascii="Open Sans" w:hAnsi="Open Sans" w:cs="Open Sans"/>
                <w:b/>
                <w:bCs/>
                <w:color w:val="002060"/>
              </w:rPr>
              <w:t xml:space="preserve"> </w:t>
            </w:r>
            <w:r w:rsidRPr="00EF36D6">
              <w:rPr>
                <w:rFonts w:ascii="Open Sans" w:hAnsi="Open Sans" w:cs="Open Sans"/>
                <w:b/>
                <w:bCs/>
                <w:color w:val="002060"/>
              </w:rPr>
              <w:t>stamp</w:t>
            </w:r>
          </w:p>
        </w:tc>
        <w:tc>
          <w:tcPr>
            <w:tcW w:w="8221" w:type="dxa"/>
          </w:tcPr>
          <w:p w14:paraId="492625C5" w14:textId="77777777" w:rsidR="00EF36D6" w:rsidRPr="00EF36D6" w:rsidRDefault="00EF36D6" w:rsidP="00AC61A4">
            <w:pPr>
              <w:rPr>
                <w:rFonts w:ascii="Open Sans" w:hAnsi="Open Sans" w:cs="Open Sans"/>
                <w:b/>
                <w:bCs/>
                <w:color w:val="002060"/>
              </w:rPr>
            </w:pPr>
            <w:r w:rsidRPr="00EF36D6">
              <w:rPr>
                <w:rFonts w:ascii="Open Sans" w:hAnsi="Open Sans" w:cs="Open Sans"/>
                <w:b/>
                <w:bCs/>
                <w:color w:val="002060"/>
              </w:rPr>
              <w:t>Transcript</w:t>
            </w:r>
          </w:p>
        </w:tc>
      </w:tr>
      <w:tr w:rsidR="00EF36D6" w14:paraId="299D756A" w14:textId="77777777" w:rsidTr="00AC61A4">
        <w:tc>
          <w:tcPr>
            <w:tcW w:w="988" w:type="dxa"/>
          </w:tcPr>
          <w:p w14:paraId="774C3289"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00:00</w:t>
            </w:r>
          </w:p>
        </w:tc>
        <w:tc>
          <w:tcPr>
            <w:tcW w:w="8221" w:type="dxa"/>
          </w:tcPr>
          <w:p w14:paraId="413BAE60"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Start of Video</w:t>
            </w:r>
          </w:p>
        </w:tc>
      </w:tr>
      <w:tr w:rsidR="00EF36D6" w14:paraId="3F6FB879" w14:textId="77777777" w:rsidTr="00AC61A4">
        <w:tc>
          <w:tcPr>
            <w:tcW w:w="988" w:type="dxa"/>
          </w:tcPr>
          <w:p w14:paraId="18AE2380"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00:02</w:t>
            </w:r>
          </w:p>
        </w:tc>
        <w:tc>
          <w:tcPr>
            <w:tcW w:w="8221" w:type="dxa"/>
          </w:tcPr>
          <w:p w14:paraId="6B949D9E"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 xml:space="preserve">What is an </w:t>
            </w:r>
            <w:r w:rsidRPr="00EF36D6">
              <w:rPr>
                <w:rFonts w:ascii="Open Sans" w:hAnsi="Open Sans" w:cs="Open Sans"/>
                <w:b/>
                <w:bCs/>
                <w:color w:val="002060"/>
              </w:rPr>
              <w:t>I</w:t>
            </w:r>
            <w:r w:rsidRPr="00EF36D6">
              <w:rPr>
                <w:rFonts w:ascii="Open Sans" w:hAnsi="Open Sans" w:cs="Open Sans"/>
                <w:color w:val="002060"/>
              </w:rPr>
              <w:t xml:space="preserve">nformation </w:t>
            </w:r>
            <w:r w:rsidRPr="00EF36D6">
              <w:rPr>
                <w:rFonts w:ascii="Open Sans" w:hAnsi="Open Sans" w:cs="Open Sans"/>
                <w:b/>
                <w:bCs/>
                <w:color w:val="002060"/>
              </w:rPr>
              <w:t>A</w:t>
            </w:r>
            <w:r w:rsidRPr="00EF36D6">
              <w:rPr>
                <w:rFonts w:ascii="Open Sans" w:hAnsi="Open Sans" w:cs="Open Sans"/>
                <w:color w:val="002060"/>
              </w:rPr>
              <w:t xml:space="preserve">dvice </w:t>
            </w:r>
            <w:r w:rsidRPr="00EF36D6">
              <w:rPr>
                <w:rFonts w:ascii="Open Sans" w:hAnsi="Open Sans" w:cs="Open Sans"/>
                <w:b/>
                <w:bCs/>
                <w:color w:val="002060"/>
              </w:rPr>
              <w:t>S</w:t>
            </w:r>
            <w:r w:rsidRPr="00EF36D6">
              <w:rPr>
                <w:rFonts w:ascii="Open Sans" w:hAnsi="Open Sans" w:cs="Open Sans"/>
                <w:color w:val="002060"/>
              </w:rPr>
              <w:t xml:space="preserve">upport </w:t>
            </w:r>
            <w:r w:rsidRPr="00EF36D6">
              <w:rPr>
                <w:rFonts w:ascii="Open Sans" w:hAnsi="Open Sans" w:cs="Open Sans"/>
                <w:b/>
                <w:bCs/>
                <w:color w:val="002060"/>
              </w:rPr>
              <w:t>S</w:t>
            </w:r>
            <w:r w:rsidRPr="00EF36D6">
              <w:rPr>
                <w:rFonts w:ascii="Open Sans" w:hAnsi="Open Sans" w:cs="Open Sans"/>
                <w:color w:val="002060"/>
              </w:rPr>
              <w:t>ervice? (Or IASS)</w:t>
            </w:r>
          </w:p>
        </w:tc>
      </w:tr>
      <w:tr w:rsidR="00EF36D6" w14:paraId="6565F1AD" w14:textId="77777777" w:rsidTr="00AC61A4">
        <w:tc>
          <w:tcPr>
            <w:tcW w:w="988" w:type="dxa"/>
          </w:tcPr>
          <w:p w14:paraId="3C04E062"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00:06</w:t>
            </w:r>
          </w:p>
        </w:tc>
        <w:tc>
          <w:tcPr>
            <w:tcW w:w="8221" w:type="dxa"/>
          </w:tcPr>
          <w:p w14:paraId="2220F50E"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 xml:space="preserve">IAS services provide; information, Advice and support to children and young people with </w:t>
            </w:r>
            <w:r w:rsidRPr="00EF36D6">
              <w:rPr>
                <w:rFonts w:ascii="Open Sans" w:hAnsi="Open Sans" w:cs="Open Sans"/>
                <w:b/>
                <w:bCs/>
                <w:color w:val="002060"/>
              </w:rPr>
              <w:t>S</w:t>
            </w:r>
            <w:r w:rsidRPr="00EF36D6">
              <w:rPr>
                <w:rFonts w:ascii="Open Sans" w:hAnsi="Open Sans" w:cs="Open Sans"/>
                <w:color w:val="002060"/>
              </w:rPr>
              <w:t xml:space="preserve">pecial </w:t>
            </w:r>
            <w:r w:rsidRPr="00EF36D6">
              <w:rPr>
                <w:rFonts w:ascii="Open Sans" w:hAnsi="Open Sans" w:cs="Open Sans"/>
                <w:b/>
                <w:bCs/>
                <w:color w:val="002060"/>
              </w:rPr>
              <w:t>E</w:t>
            </w:r>
            <w:r w:rsidRPr="00EF36D6">
              <w:rPr>
                <w:rFonts w:ascii="Open Sans" w:hAnsi="Open Sans" w:cs="Open Sans"/>
                <w:color w:val="002060"/>
              </w:rPr>
              <w:t xml:space="preserve">ducational </w:t>
            </w:r>
            <w:r w:rsidRPr="00EF36D6">
              <w:rPr>
                <w:rFonts w:ascii="Open Sans" w:hAnsi="Open Sans" w:cs="Open Sans"/>
                <w:b/>
                <w:bCs/>
                <w:color w:val="002060"/>
              </w:rPr>
              <w:t>N</w:t>
            </w:r>
            <w:r w:rsidRPr="00EF36D6">
              <w:rPr>
                <w:rFonts w:ascii="Open Sans" w:hAnsi="Open Sans" w:cs="Open Sans"/>
                <w:color w:val="002060"/>
              </w:rPr>
              <w:t xml:space="preserve">eeds or </w:t>
            </w:r>
            <w:r w:rsidRPr="00EF36D6">
              <w:rPr>
                <w:rFonts w:ascii="Open Sans" w:hAnsi="Open Sans" w:cs="Open Sans"/>
                <w:b/>
                <w:bCs/>
                <w:color w:val="002060"/>
              </w:rPr>
              <w:t>D</w:t>
            </w:r>
            <w:r w:rsidRPr="00EF36D6">
              <w:rPr>
                <w:rFonts w:ascii="Open Sans" w:hAnsi="Open Sans" w:cs="Open Sans"/>
                <w:color w:val="002060"/>
              </w:rPr>
              <w:t>isabilities and their parents.</w:t>
            </w:r>
          </w:p>
        </w:tc>
      </w:tr>
      <w:tr w:rsidR="00EF36D6" w14:paraId="3D21C126" w14:textId="77777777" w:rsidTr="00AC61A4">
        <w:tc>
          <w:tcPr>
            <w:tcW w:w="988" w:type="dxa"/>
          </w:tcPr>
          <w:p w14:paraId="12F560A7"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00:22</w:t>
            </w:r>
          </w:p>
        </w:tc>
        <w:tc>
          <w:tcPr>
            <w:tcW w:w="8221" w:type="dxa"/>
          </w:tcPr>
          <w:p w14:paraId="6A89A23C" w14:textId="77777777" w:rsidR="00EF36D6" w:rsidRPr="00EF36D6" w:rsidRDefault="00EF36D6" w:rsidP="00AC61A4">
            <w:pPr>
              <w:ind w:left="40" w:hanging="40"/>
              <w:rPr>
                <w:rFonts w:ascii="Open Sans" w:hAnsi="Open Sans" w:cs="Open Sans"/>
                <w:color w:val="002060"/>
              </w:rPr>
            </w:pPr>
            <w:r w:rsidRPr="00EF36D6">
              <w:rPr>
                <w:rFonts w:ascii="Open Sans" w:hAnsi="Open Sans" w:cs="Open Sans"/>
                <w:color w:val="002060"/>
              </w:rPr>
              <w:t xml:space="preserve">The information, advice and support IAS services provide can be </w:t>
            </w:r>
            <w:r>
              <w:rPr>
                <w:rFonts w:ascii="Open Sans" w:hAnsi="Open Sans" w:cs="Open Sans"/>
                <w:color w:val="002060"/>
              </w:rPr>
              <w:t>a</w:t>
            </w:r>
            <w:r w:rsidRPr="00EF36D6">
              <w:rPr>
                <w:rFonts w:ascii="Open Sans" w:hAnsi="Open Sans" w:cs="Open Sans"/>
                <w:color w:val="002060"/>
              </w:rPr>
              <w:t xml:space="preserve">bout, </w:t>
            </w:r>
            <w:r w:rsidRPr="00EF36D6">
              <w:rPr>
                <w:rFonts w:ascii="Open Sans" w:hAnsi="Open Sans" w:cs="Open Sans"/>
                <w:b/>
                <w:bCs/>
                <w:color w:val="002060"/>
              </w:rPr>
              <w:t>H</w:t>
            </w:r>
            <w:r w:rsidRPr="00EF36D6">
              <w:rPr>
                <w:rFonts w:ascii="Open Sans" w:hAnsi="Open Sans" w:cs="Open Sans"/>
                <w:color w:val="002060"/>
              </w:rPr>
              <w:t xml:space="preserve">ealth, </w:t>
            </w:r>
            <w:r w:rsidRPr="00EF36D6">
              <w:rPr>
                <w:rFonts w:ascii="Open Sans" w:hAnsi="Open Sans" w:cs="Open Sans"/>
                <w:b/>
                <w:bCs/>
                <w:color w:val="002060"/>
              </w:rPr>
              <w:t>S</w:t>
            </w:r>
            <w:r w:rsidRPr="00EF36D6">
              <w:rPr>
                <w:rFonts w:ascii="Open Sans" w:hAnsi="Open Sans" w:cs="Open Sans"/>
                <w:color w:val="002060"/>
              </w:rPr>
              <w:t xml:space="preserve">ocial care and </w:t>
            </w:r>
            <w:r w:rsidRPr="00EF36D6">
              <w:rPr>
                <w:rFonts w:ascii="Open Sans" w:hAnsi="Open Sans" w:cs="Open Sans"/>
                <w:b/>
                <w:bCs/>
                <w:color w:val="002060"/>
              </w:rPr>
              <w:t>E</w:t>
            </w:r>
            <w:r w:rsidRPr="00EF36D6">
              <w:rPr>
                <w:rFonts w:ascii="Open Sans" w:hAnsi="Open Sans" w:cs="Open Sans"/>
                <w:color w:val="002060"/>
              </w:rPr>
              <w:t xml:space="preserve">ducation. </w:t>
            </w:r>
          </w:p>
        </w:tc>
      </w:tr>
      <w:tr w:rsidR="00EF36D6" w14:paraId="12AAE5C2" w14:textId="77777777" w:rsidTr="00AC61A4">
        <w:tc>
          <w:tcPr>
            <w:tcW w:w="988" w:type="dxa"/>
          </w:tcPr>
          <w:p w14:paraId="52FB911E"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00:31</w:t>
            </w:r>
          </w:p>
        </w:tc>
        <w:tc>
          <w:tcPr>
            <w:tcW w:w="8221" w:type="dxa"/>
          </w:tcPr>
          <w:p w14:paraId="17FAFC39"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The service will make sure you understand what support and services you are entitled to and how to access it.</w:t>
            </w:r>
          </w:p>
        </w:tc>
      </w:tr>
      <w:tr w:rsidR="00EF36D6" w14:paraId="37E83123" w14:textId="77777777" w:rsidTr="00AC61A4">
        <w:tc>
          <w:tcPr>
            <w:tcW w:w="988" w:type="dxa"/>
          </w:tcPr>
          <w:p w14:paraId="413D0F28"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00:41</w:t>
            </w:r>
          </w:p>
        </w:tc>
        <w:tc>
          <w:tcPr>
            <w:tcW w:w="8221" w:type="dxa"/>
          </w:tcPr>
          <w:p w14:paraId="5E7B368A"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Children and young people with SEND can contact or visit their services independently or through their parents.</w:t>
            </w:r>
          </w:p>
        </w:tc>
      </w:tr>
      <w:tr w:rsidR="00EF36D6" w14:paraId="2F062FAD" w14:textId="77777777" w:rsidTr="00AC61A4">
        <w:tc>
          <w:tcPr>
            <w:tcW w:w="988" w:type="dxa"/>
          </w:tcPr>
          <w:p w14:paraId="61B1DFDC"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00:50</w:t>
            </w:r>
          </w:p>
        </w:tc>
        <w:tc>
          <w:tcPr>
            <w:tcW w:w="8221" w:type="dxa"/>
          </w:tcPr>
          <w:p w14:paraId="7FE5D415"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 xml:space="preserve">IAS services are statutory, this means that every local authority in the country </w:t>
            </w:r>
            <w:proofErr w:type="gramStart"/>
            <w:r w:rsidRPr="00EF36D6">
              <w:rPr>
                <w:rFonts w:ascii="Open Sans" w:hAnsi="Open Sans" w:cs="Open Sans"/>
                <w:color w:val="002060"/>
              </w:rPr>
              <w:t>has to</w:t>
            </w:r>
            <w:proofErr w:type="gramEnd"/>
            <w:r w:rsidRPr="00EF36D6">
              <w:rPr>
                <w:rFonts w:ascii="Open Sans" w:hAnsi="Open Sans" w:cs="Open Sans"/>
                <w:color w:val="002060"/>
              </w:rPr>
              <w:t xml:space="preserve"> have one.</w:t>
            </w:r>
          </w:p>
        </w:tc>
      </w:tr>
      <w:tr w:rsidR="00EF36D6" w14:paraId="78104E77" w14:textId="77777777" w:rsidTr="00AC61A4">
        <w:tc>
          <w:tcPr>
            <w:tcW w:w="988" w:type="dxa"/>
          </w:tcPr>
          <w:p w14:paraId="1B5FD80A"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01:00</w:t>
            </w:r>
          </w:p>
        </w:tc>
        <w:tc>
          <w:tcPr>
            <w:tcW w:w="8221" w:type="dxa"/>
          </w:tcPr>
          <w:p w14:paraId="46EFC974"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This is because being able to have free information, advice and support is a legal right for children and young people with special educational needs and/ or disabilities, and their parents.</w:t>
            </w:r>
          </w:p>
        </w:tc>
      </w:tr>
      <w:tr w:rsidR="00EF36D6" w14:paraId="05D1BCBF" w14:textId="77777777" w:rsidTr="00AC61A4">
        <w:tc>
          <w:tcPr>
            <w:tcW w:w="988" w:type="dxa"/>
          </w:tcPr>
          <w:p w14:paraId="249F1794"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01:15</w:t>
            </w:r>
          </w:p>
        </w:tc>
        <w:tc>
          <w:tcPr>
            <w:tcW w:w="8221" w:type="dxa"/>
          </w:tcPr>
          <w:p w14:paraId="0658556C"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The service is free and confidential, meaning unless someone is worried about your safety, anything you say to someone who works for the service will not be shared with anyone outside the service.</w:t>
            </w:r>
          </w:p>
        </w:tc>
      </w:tr>
      <w:tr w:rsidR="00EF36D6" w14:paraId="78751B4B" w14:textId="77777777" w:rsidTr="00AC61A4">
        <w:tc>
          <w:tcPr>
            <w:tcW w:w="988" w:type="dxa"/>
          </w:tcPr>
          <w:p w14:paraId="5A429AD1"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01:29</w:t>
            </w:r>
          </w:p>
        </w:tc>
        <w:tc>
          <w:tcPr>
            <w:tcW w:w="8221" w:type="dxa"/>
          </w:tcPr>
          <w:p w14:paraId="483A1CF1"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The service in impartial, meaning they do not take anyone’s side, they just stick to the fact.</w:t>
            </w:r>
          </w:p>
        </w:tc>
      </w:tr>
      <w:tr w:rsidR="00EF36D6" w14:paraId="2B5CF666" w14:textId="77777777" w:rsidTr="00AC61A4">
        <w:tc>
          <w:tcPr>
            <w:tcW w:w="988" w:type="dxa"/>
          </w:tcPr>
          <w:p w14:paraId="3FA512F8"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01:38</w:t>
            </w:r>
          </w:p>
        </w:tc>
        <w:tc>
          <w:tcPr>
            <w:tcW w:w="8221" w:type="dxa"/>
          </w:tcPr>
          <w:p w14:paraId="3AD57E59"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IAS services must do certain things and work in a certain way to meet strict standards.</w:t>
            </w:r>
          </w:p>
        </w:tc>
      </w:tr>
      <w:tr w:rsidR="00EF36D6" w14:paraId="4F795B11" w14:textId="77777777" w:rsidTr="00AC61A4">
        <w:tc>
          <w:tcPr>
            <w:tcW w:w="988" w:type="dxa"/>
          </w:tcPr>
          <w:p w14:paraId="28656745"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01:46</w:t>
            </w:r>
          </w:p>
        </w:tc>
        <w:tc>
          <w:tcPr>
            <w:tcW w:w="8221" w:type="dxa"/>
          </w:tcPr>
          <w:p w14:paraId="55378F17"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These are known as the minimum standards.</w:t>
            </w:r>
          </w:p>
        </w:tc>
      </w:tr>
      <w:tr w:rsidR="00EF36D6" w14:paraId="56051314" w14:textId="77777777" w:rsidTr="00AC61A4">
        <w:tc>
          <w:tcPr>
            <w:tcW w:w="988" w:type="dxa"/>
          </w:tcPr>
          <w:p w14:paraId="7DA782B9"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01:51</w:t>
            </w:r>
          </w:p>
        </w:tc>
        <w:tc>
          <w:tcPr>
            <w:tcW w:w="8221" w:type="dxa"/>
          </w:tcPr>
          <w:p w14:paraId="1E4EF476"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These animations are about these minimum standards and will help you understand more about information, advice and support services</w:t>
            </w:r>
            <w:r>
              <w:rPr>
                <w:rFonts w:ascii="Open Sans" w:hAnsi="Open Sans" w:cs="Open Sans"/>
                <w:color w:val="002060"/>
              </w:rPr>
              <w:t>.</w:t>
            </w:r>
          </w:p>
        </w:tc>
      </w:tr>
      <w:tr w:rsidR="00EF36D6" w14:paraId="7C705DC9" w14:textId="77777777" w:rsidTr="00AC61A4">
        <w:tc>
          <w:tcPr>
            <w:tcW w:w="988" w:type="dxa"/>
          </w:tcPr>
          <w:p w14:paraId="1BB9D9A8"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02:00</w:t>
            </w:r>
          </w:p>
        </w:tc>
        <w:tc>
          <w:tcPr>
            <w:tcW w:w="8221" w:type="dxa"/>
          </w:tcPr>
          <w:p w14:paraId="43DFD161"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What they do? Why they do it? and how you can complain if they are not doing it?</w:t>
            </w:r>
          </w:p>
        </w:tc>
      </w:tr>
      <w:tr w:rsidR="00EF36D6" w14:paraId="124807EE" w14:textId="77777777" w:rsidTr="00AC61A4">
        <w:tc>
          <w:tcPr>
            <w:tcW w:w="988" w:type="dxa"/>
          </w:tcPr>
          <w:p w14:paraId="7DCAE944"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02:10</w:t>
            </w:r>
          </w:p>
        </w:tc>
        <w:tc>
          <w:tcPr>
            <w:tcW w:w="8221" w:type="dxa"/>
          </w:tcPr>
          <w:p w14:paraId="6C63E2A4" w14:textId="77777777" w:rsidR="00EF36D6" w:rsidRPr="00EF36D6" w:rsidRDefault="00EF36D6" w:rsidP="00AC61A4">
            <w:pPr>
              <w:rPr>
                <w:rFonts w:ascii="Open Sans" w:hAnsi="Open Sans" w:cs="Open Sans"/>
                <w:color w:val="002060"/>
              </w:rPr>
            </w:pPr>
            <w:r>
              <w:rPr>
                <w:rFonts w:ascii="Open Sans" w:hAnsi="Open Sans" w:cs="Open Sans"/>
                <w:color w:val="002060"/>
              </w:rPr>
              <w:t xml:space="preserve">TEXT - </w:t>
            </w:r>
            <w:r w:rsidRPr="00EF36D6">
              <w:rPr>
                <w:rFonts w:ascii="Open Sans" w:hAnsi="Open Sans" w:cs="Open Sans"/>
                <w:color w:val="002060"/>
              </w:rPr>
              <w:t>Information Advice &amp; Support Service Network</w:t>
            </w:r>
          </w:p>
          <w:p w14:paraId="4EFAA10B"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 xml:space="preserve">Council for </w:t>
            </w:r>
            <w:r>
              <w:rPr>
                <w:rFonts w:ascii="Open Sans" w:hAnsi="Open Sans" w:cs="Open Sans"/>
                <w:color w:val="002060"/>
              </w:rPr>
              <w:t>D</w:t>
            </w:r>
            <w:r w:rsidRPr="00EF36D6">
              <w:rPr>
                <w:rFonts w:ascii="Open Sans" w:hAnsi="Open Sans" w:cs="Open Sans"/>
                <w:color w:val="002060"/>
              </w:rPr>
              <w:t>isabled children</w:t>
            </w:r>
          </w:p>
          <w:p w14:paraId="0000F965"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National Children’s Bureau – part of the family</w:t>
            </w:r>
          </w:p>
          <w:p w14:paraId="406C355D" w14:textId="77777777" w:rsidR="00EF36D6" w:rsidRPr="00EF36D6" w:rsidRDefault="00EF36D6" w:rsidP="00AC61A4">
            <w:pPr>
              <w:rPr>
                <w:rFonts w:ascii="Open Sans" w:hAnsi="Open Sans" w:cs="Open Sans"/>
                <w:color w:val="002060"/>
              </w:rPr>
            </w:pPr>
            <w:hyperlink r:id="rId7" w:history="1">
              <w:r w:rsidRPr="00EF36D6">
                <w:rPr>
                  <w:rStyle w:val="Hyperlink"/>
                  <w:rFonts w:ascii="Open Sans" w:hAnsi="Open Sans" w:cs="Open Sans"/>
                  <w:color w:val="002060"/>
                </w:rPr>
                <w:t>https://councilfordisabledchildren.org.uk/information-adviceandsupportservicesnetwork</w:t>
              </w:r>
            </w:hyperlink>
            <w:r w:rsidRPr="00EF36D6">
              <w:rPr>
                <w:rFonts w:ascii="Open Sans" w:hAnsi="Open Sans" w:cs="Open Sans"/>
                <w:color w:val="002060"/>
              </w:rPr>
              <w:t>.</w:t>
            </w:r>
          </w:p>
        </w:tc>
      </w:tr>
      <w:tr w:rsidR="00EF36D6" w14:paraId="75E9AF58" w14:textId="77777777" w:rsidTr="00AC61A4">
        <w:tc>
          <w:tcPr>
            <w:tcW w:w="988" w:type="dxa"/>
          </w:tcPr>
          <w:p w14:paraId="70650050"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02:18</w:t>
            </w:r>
          </w:p>
        </w:tc>
        <w:tc>
          <w:tcPr>
            <w:tcW w:w="8221" w:type="dxa"/>
          </w:tcPr>
          <w:p w14:paraId="6DC9E882"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End of Video</w:t>
            </w:r>
          </w:p>
        </w:tc>
      </w:tr>
    </w:tbl>
    <w:p w14:paraId="469CD623" w14:textId="77777777" w:rsidR="00866046" w:rsidRPr="00866046" w:rsidRDefault="00866046" w:rsidP="00866046">
      <w:pPr>
        <w:jc w:val="center"/>
        <w:rPr>
          <w:b/>
          <w:bCs/>
          <w:sz w:val="28"/>
          <w:szCs w:val="28"/>
        </w:rPr>
      </w:pPr>
    </w:p>
    <w:sectPr w:rsidR="00866046" w:rsidRPr="00866046" w:rsidSect="00032F61">
      <w:headerReference w:type="first" r:id="rId8"/>
      <w:pgSz w:w="11906" w:h="16838"/>
      <w:pgMar w:top="568" w:right="991" w:bottom="284"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1F3B" w14:textId="77777777" w:rsidR="00EF36D6" w:rsidRDefault="00EF36D6" w:rsidP="00EF36D6">
      <w:pPr>
        <w:spacing w:after="0" w:line="240" w:lineRule="auto"/>
      </w:pPr>
      <w:r>
        <w:separator/>
      </w:r>
    </w:p>
  </w:endnote>
  <w:endnote w:type="continuationSeparator" w:id="0">
    <w:p w14:paraId="7ADD1D18" w14:textId="77777777" w:rsidR="00EF36D6" w:rsidRDefault="00EF36D6" w:rsidP="00EF3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DAFB" w14:textId="77777777" w:rsidR="00EF36D6" w:rsidRDefault="00EF36D6" w:rsidP="00EF36D6">
      <w:pPr>
        <w:spacing w:after="0" w:line="240" w:lineRule="auto"/>
      </w:pPr>
      <w:r>
        <w:separator/>
      </w:r>
    </w:p>
  </w:footnote>
  <w:footnote w:type="continuationSeparator" w:id="0">
    <w:p w14:paraId="46EF8A81" w14:textId="77777777" w:rsidR="00EF36D6" w:rsidRDefault="00EF36D6" w:rsidP="00EF3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930D" w14:textId="3CC5ED32" w:rsidR="00EF36D6" w:rsidRDefault="002B5828" w:rsidP="00446D2D">
    <w:pPr>
      <w:ind w:left="-426" w:right="-567"/>
      <w:rPr>
        <w:b/>
        <w:bCs/>
        <w:color w:val="002060"/>
        <w:sz w:val="28"/>
        <w:szCs w:val="28"/>
      </w:rPr>
    </w:pPr>
    <w:r>
      <w:rPr>
        <w:rFonts w:ascii="Open Sans" w:hAnsi="Open Sans" w:cs="Open Sans"/>
        <w:b/>
        <w:bCs/>
        <w:color w:val="002060"/>
        <w:sz w:val="28"/>
        <w:szCs w:val="28"/>
      </w:rPr>
      <w:t xml:space="preserve">                                                IASS Video Transcript                                 </w:t>
    </w:r>
    <w:r w:rsidR="00AC61A4" w:rsidRPr="00AC61A4">
      <w:rPr>
        <w:b/>
        <w:bCs/>
        <w:color w:val="002060"/>
        <w:sz w:val="28"/>
        <w:szCs w:val="28"/>
      </w:rPr>
      <w:t xml:space="preserve">  </w:t>
    </w:r>
    <w:r w:rsidR="00AC61A4">
      <w:rPr>
        <w:noProof/>
      </w:rPr>
      <w:drawing>
        <wp:inline distT="0" distB="0" distL="0" distR="0" wp14:anchorId="6CF1B8E1" wp14:editId="44E0CD86">
          <wp:extent cx="800100" cy="600075"/>
          <wp:effectExtent l="0" t="0" r="0" b="9525"/>
          <wp:docPr id="20" name="Picture 20" descr="IASS_logo_WEB"/>
          <wp:cNvGraphicFramePr/>
          <a:graphic xmlns:a="http://schemas.openxmlformats.org/drawingml/2006/main">
            <a:graphicData uri="http://schemas.openxmlformats.org/drawingml/2006/picture">
              <pic:pic xmlns:pic="http://schemas.openxmlformats.org/drawingml/2006/picture">
                <pic:nvPicPr>
                  <pic:cNvPr id="1" name="Picture 5" descr="IASS_logo_WE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p>
  <w:p w14:paraId="5A2F3568" w14:textId="420E96BB" w:rsidR="00EF36D6" w:rsidRDefault="002B5828" w:rsidP="002B5828">
    <w:pPr>
      <w:ind w:left="-426" w:right="-567"/>
      <w:jc w:val="center"/>
    </w:pPr>
    <w:r>
      <w:rPr>
        <w:rFonts w:ascii="Open Sans" w:hAnsi="Open Sans" w:cs="Open Sans"/>
        <w:b/>
        <w:bCs/>
        <w:color w:val="002060"/>
        <w:sz w:val="28"/>
        <w:szCs w:val="28"/>
      </w:rPr>
      <w:t>What is and Information Advice Support Service?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65"/>
    <w:rsid w:val="00032F61"/>
    <w:rsid w:val="001857D2"/>
    <w:rsid w:val="0020514D"/>
    <w:rsid w:val="002B5828"/>
    <w:rsid w:val="00446D2D"/>
    <w:rsid w:val="004E1B65"/>
    <w:rsid w:val="00866046"/>
    <w:rsid w:val="00AC61A4"/>
    <w:rsid w:val="00BF1528"/>
    <w:rsid w:val="00E228EB"/>
    <w:rsid w:val="00EF36D6"/>
    <w:rsid w:val="00F55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C4160"/>
  <w15:chartTrackingRefBased/>
  <w15:docId w15:val="{D3B96C3C-18DE-46F8-8466-38409515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14D"/>
    <w:rPr>
      <w:color w:val="0563C1" w:themeColor="hyperlink"/>
      <w:u w:val="single"/>
    </w:rPr>
  </w:style>
  <w:style w:type="character" w:styleId="UnresolvedMention">
    <w:name w:val="Unresolved Mention"/>
    <w:basedOn w:val="DefaultParagraphFont"/>
    <w:uiPriority w:val="99"/>
    <w:semiHidden/>
    <w:unhideWhenUsed/>
    <w:rsid w:val="0020514D"/>
    <w:rPr>
      <w:color w:val="605E5C"/>
      <w:shd w:val="clear" w:color="auto" w:fill="E1DFDD"/>
    </w:rPr>
  </w:style>
  <w:style w:type="paragraph" w:styleId="Header">
    <w:name w:val="header"/>
    <w:basedOn w:val="Normal"/>
    <w:link w:val="HeaderChar"/>
    <w:uiPriority w:val="99"/>
    <w:unhideWhenUsed/>
    <w:rsid w:val="00EF3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6D6"/>
  </w:style>
  <w:style w:type="paragraph" w:styleId="Footer">
    <w:name w:val="footer"/>
    <w:basedOn w:val="Normal"/>
    <w:link w:val="FooterChar"/>
    <w:uiPriority w:val="99"/>
    <w:unhideWhenUsed/>
    <w:rsid w:val="00EF3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uncilfordisabledchildren.org.uk/information-adviceandsupportservicesnetw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Rahmin: WCC</dc:creator>
  <cp:keywords/>
  <dc:description/>
  <cp:lastModifiedBy>Chowdhury, Rahmin: WCC</cp:lastModifiedBy>
  <cp:revision>5</cp:revision>
  <dcterms:created xsi:type="dcterms:W3CDTF">2023-01-11T16:06:00Z</dcterms:created>
  <dcterms:modified xsi:type="dcterms:W3CDTF">2023-01-11T16:10:00Z</dcterms:modified>
</cp:coreProperties>
</file>